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C1" w:rsidRP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b/>
          <w:color w:val="000000"/>
          <w:kern w:val="0"/>
          <w:sz w:val="26"/>
          <w:szCs w:val="26"/>
        </w:rPr>
      </w:pPr>
      <w:r w:rsidRPr="006F62C1">
        <w:rPr>
          <w:rFonts w:ascii="PMingLiU" w:eastAsia="PMingLiU" w:cs="PMingLiU" w:hint="eastAsia"/>
          <w:b/>
          <w:color w:val="000000"/>
          <w:kern w:val="0"/>
          <w:sz w:val="26"/>
          <w:szCs w:val="26"/>
        </w:rPr>
        <w:t>撰稿體例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本刊為統一</w:t>
      </w:r>
      <w:proofErr w:type="gramEnd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文稿規格，特編訂論文撰稿體例，敬請參考遵循採用。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cs="PMingLiU" w:hint="eastAsia"/>
          <w:color w:val="000000"/>
          <w:kern w:val="0"/>
          <w:szCs w:val="24"/>
        </w:rPr>
      </w:pP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Cs w:val="24"/>
        </w:rPr>
      </w:pPr>
      <w:r>
        <w:rPr>
          <w:rFonts w:ascii="PMingLiU" w:eastAsia="PMingLiU" w:cs="PMingLiU" w:hint="eastAsia"/>
          <w:color w:val="000000"/>
          <w:kern w:val="0"/>
          <w:szCs w:val="24"/>
        </w:rPr>
        <w:t>一、撰稿格式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Theme="minorEastAsia" w:hAnsiTheme="minorEastAsia" w:cs="PMingLiU" w:hint="eastAsia"/>
          <w:color w:val="000000"/>
          <w:kern w:val="0"/>
          <w:sz w:val="20"/>
          <w:szCs w:val="20"/>
        </w:rPr>
        <w:t xml:space="preserve"> 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（一）來稿請以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MS Word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或其他相容軟體編輯，中文字體為「新細明體」，英文字體為「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Times New Roman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」，</w:t>
      </w: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獨段引言</w:t>
      </w:r>
      <w:proofErr w:type="gramEnd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可用「標楷體」，不需用其他字型或樣式（斜體、底線等）做強調，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12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級字，</w:t>
      </w: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採</w:t>
      </w:r>
      <w:proofErr w:type="gramEnd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橫向排列，左右邊對齊，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1.5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倍行距，並於</w:t>
      </w: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頁尾置中</w:t>
      </w:r>
      <w:proofErr w:type="gramEnd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註明頁碼。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Theme="minorEastAsia" w:hAnsiTheme="minorEastAsia" w:cs="PMingLiU" w:hint="eastAsia"/>
          <w:color w:val="000000"/>
          <w:kern w:val="0"/>
          <w:sz w:val="20"/>
          <w:szCs w:val="20"/>
        </w:rPr>
        <w:t xml:space="preserve"> 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（二）稿件順序：首頁、中文摘要與關鍵詞、英文摘要與關鍵詞、正文、附錄、參考書目。以上各項均</w:t>
      </w: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獨立起頁</w:t>
      </w:r>
      <w:proofErr w:type="gramEnd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Theme="minorEastAsia" w:hAnsiTheme="minorEastAsia" w:cs="PMingLiU" w:hint="eastAsia"/>
          <w:color w:val="000000"/>
          <w:kern w:val="0"/>
          <w:sz w:val="20"/>
          <w:szCs w:val="20"/>
        </w:rPr>
        <w:t xml:space="preserve"> 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（三）若有特殊注意事項，請於稿件後註明。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Cs w:val="24"/>
        </w:rPr>
      </w:pPr>
      <w:r>
        <w:rPr>
          <w:rFonts w:ascii="PMingLiU" w:eastAsia="PMingLiU" w:cs="PMingLiU" w:hint="eastAsia"/>
          <w:color w:val="000000"/>
          <w:kern w:val="0"/>
          <w:szCs w:val="24"/>
        </w:rPr>
        <w:t>二、首頁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Theme="minorEastAsia" w:hAnsiTheme="minorEastAsia" w:cs="PMingLiU" w:hint="eastAsia"/>
          <w:color w:val="000000"/>
          <w:kern w:val="0"/>
          <w:sz w:val="20"/>
          <w:szCs w:val="20"/>
        </w:rPr>
        <w:t xml:space="preserve"> 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（一）論文題目：若有副題，正、</w:t>
      </w: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副題間以</w:t>
      </w:r>
      <w:proofErr w:type="gramEnd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「：」符號區隔。如有附註，請在題目</w:t>
      </w: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右上角以</w:t>
      </w:r>
      <w:proofErr w:type="gramEnd"/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*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符號插入頁尾「註腳」，並在註腳中說明。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Theme="minorEastAsia" w:hAnsiTheme="minorEastAsia" w:cs="PMingLiU" w:hint="eastAsia"/>
          <w:color w:val="000000"/>
          <w:kern w:val="0"/>
          <w:sz w:val="20"/>
          <w:szCs w:val="20"/>
        </w:rPr>
        <w:t xml:space="preserve"> 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（二）論文類別：請參考「徵稿簡則」論文類別項下的說明。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Theme="minorEastAsia" w:hAnsiTheme="minorEastAsia" w:cs="PMingLiU" w:hint="eastAsia"/>
          <w:color w:val="000000"/>
          <w:kern w:val="0"/>
          <w:sz w:val="20"/>
          <w:szCs w:val="20"/>
        </w:rPr>
        <w:t xml:space="preserve"> 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（三）作者姓名：請在頁尾「註腳」註明任職機構及職稱。如遇有題目附註，則先註明任職機構及職稱，再提出題目附註。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（四）聯絡作者：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請列出通訊地址、電話、傳真、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e-mail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等資料。通常第一作者即</w:t>
      </w: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為此篇</w:t>
      </w:r>
      <w:proofErr w:type="gramEnd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論文之聯絡作者，若非第一作者，則請特別說明。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（五）謝詞：如有謝詞，請於頁尾「註腳」提出。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Cs w:val="24"/>
        </w:rPr>
      </w:pPr>
      <w:r>
        <w:rPr>
          <w:rFonts w:ascii="PMingLiU" w:eastAsia="PMingLiU" w:cs="PMingLiU" w:hint="eastAsia"/>
          <w:color w:val="000000"/>
          <w:kern w:val="0"/>
          <w:szCs w:val="24"/>
        </w:rPr>
        <w:t>三、摘要與關鍵字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（一）中文摘要：若為中文來稿，來稿次頁為中文摘要。若為英文來稿，則置於英文摘要之後，並以中文書明論文題目。並在其後列明中文關鍵詞，以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5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個以內為原則。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（二）英文摘要：若為英文來稿，來稿次頁為英文摘要。若為中文來稿，則置於中文摘要之後，並以英文書明論文題目。並在其後列明英文關鍵詞，以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5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個以內為原則。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Cs w:val="24"/>
        </w:rPr>
      </w:pPr>
      <w:r>
        <w:rPr>
          <w:rFonts w:ascii="PMingLiU" w:eastAsia="PMingLiU" w:cs="PMingLiU" w:hint="eastAsia"/>
          <w:color w:val="000000"/>
          <w:kern w:val="0"/>
          <w:szCs w:val="24"/>
        </w:rPr>
        <w:t>四、正文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（一）為了便於匿名審查作業，文中請避免出現透露作者身份的文字，若有需要則請以第三人稱方式稱之。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（二）註解與圖表：</w:t>
      </w: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均請放入</w:t>
      </w:r>
      <w:proofErr w:type="gramEnd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文中。註解若針對特定專有名詞，</w:t>
      </w: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請置於</w:t>
      </w:r>
      <w:proofErr w:type="gramEnd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該名詞之右上角，餘則置於該</w:t>
      </w: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句句末</w:t>
      </w:r>
      <w:proofErr w:type="gramEnd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之標點符號的右上角。圖表若集中於文後，須在正文中標示位置，並將圖表放在參考書目之後。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（三）</w:t>
      </w:r>
      <w:r w:rsidRPr="006F62C1">
        <w:rPr>
          <w:rFonts w:ascii="PMingLiU" w:eastAsia="PMingLiU" w:cs="PMingLiU" w:hint="eastAsia"/>
          <w:kern w:val="0"/>
          <w:sz w:val="20"/>
          <w:szCs w:val="20"/>
        </w:rPr>
        <w:t>標點符號的使用：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1. </w:t>
      </w:r>
      <w:r w:rsidRPr="006F62C1">
        <w:rPr>
          <w:rFonts w:ascii="PMingLiU" w:eastAsia="PMingLiU" w:cs="PMingLiU" w:hint="eastAsia"/>
          <w:kern w:val="0"/>
          <w:sz w:val="20"/>
          <w:szCs w:val="20"/>
        </w:rPr>
        <w:t>中文標點符號一律用「全形」輸入。破折號及省略符號（…</w:t>
      </w:r>
      <w:proofErr w:type="gramStart"/>
      <w:r w:rsidRPr="006F62C1">
        <w:rPr>
          <w:rFonts w:ascii="PMingLiU" w:eastAsia="PMingLiU" w:cs="PMingLiU" w:hint="eastAsia"/>
          <w:kern w:val="0"/>
          <w:sz w:val="20"/>
          <w:szCs w:val="20"/>
        </w:rPr>
        <w:t>…</w:t>
      </w:r>
      <w:proofErr w:type="gramEnd"/>
      <w:r w:rsidRPr="006F62C1">
        <w:rPr>
          <w:rFonts w:ascii="PMingLiU" w:eastAsia="PMingLiU" w:cs="PMingLiU" w:hint="eastAsia"/>
          <w:kern w:val="0"/>
          <w:sz w:val="20"/>
          <w:szCs w:val="20"/>
        </w:rPr>
        <w:t>）占兩個中文字元長度，括弧內若欲再使用括弧，請以</w:t>
      </w:r>
      <w:r w:rsidRPr="006F62C1">
        <w:rPr>
          <w:rFonts w:ascii="PMingLiU" w:eastAsia="PMingLiU" w:cs="PMingLiU"/>
          <w:kern w:val="0"/>
          <w:sz w:val="20"/>
          <w:szCs w:val="20"/>
        </w:rPr>
        <w:t xml:space="preserve"> </w:t>
      </w: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[ ] </w:t>
      </w:r>
      <w:r w:rsidRPr="006F62C1">
        <w:rPr>
          <w:rFonts w:ascii="PMingLiU" w:eastAsia="PMingLiU" w:cs="PMingLiU" w:hint="eastAsia"/>
          <w:kern w:val="0"/>
          <w:sz w:val="20"/>
          <w:szCs w:val="20"/>
        </w:rPr>
        <w:t>代替。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 xml:space="preserve">2. 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正文中，書刊</w:t>
      </w: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名及篇名</w:t>
      </w:r>
      <w:proofErr w:type="gramEnd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的標點符號使用範例：</w:t>
      </w:r>
    </w:p>
    <w:p w:rsidR="006F62C1" w:rsidRDefault="006F62C1" w:rsidP="006F62C1">
      <w:pPr>
        <w:autoSpaceDE w:val="0"/>
        <w:autoSpaceDN w:val="0"/>
        <w:adjustRightInd w:val="0"/>
        <w:rPr>
          <w:rFonts w:ascii="DFKaiShu-SB-Estd-BF" w:eastAsia="DFKaiShu-SB-Estd-BF" w:cs="DFKaiShu-SB-Estd-BF"/>
          <w:color w:val="000000"/>
          <w:kern w:val="0"/>
          <w:sz w:val="20"/>
          <w:szCs w:val="20"/>
        </w:rPr>
      </w:pPr>
      <w:r>
        <w:rPr>
          <w:rFonts w:asciiTheme="minorEastAsia" w:hAnsiTheme="minorEastAsia" w:cs="PMingLiU" w:hint="eastAsia"/>
          <w:color w:val="000000"/>
          <w:kern w:val="0"/>
          <w:sz w:val="20"/>
          <w:szCs w:val="20"/>
        </w:rPr>
        <w:t xml:space="preserve">          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中日文書刊名：</w:t>
      </w:r>
      <w:r>
        <w:rPr>
          <w:rFonts w:ascii="DFKaiShu-SB-Estd-BF" w:eastAsia="DFKaiShu-SB-Estd-BF" w:cs="DFKaiShu-SB-Estd-BF" w:hint="eastAsia"/>
          <w:color w:val="000000"/>
          <w:kern w:val="0"/>
          <w:sz w:val="20"/>
          <w:szCs w:val="20"/>
        </w:rPr>
        <w:t>《臺灣社會學刊》</w:t>
      </w:r>
    </w:p>
    <w:p w:rsidR="006F62C1" w:rsidRDefault="006F62C1" w:rsidP="006F62C1">
      <w:pPr>
        <w:autoSpaceDE w:val="0"/>
        <w:autoSpaceDN w:val="0"/>
        <w:adjustRightInd w:val="0"/>
        <w:rPr>
          <w:rFonts w:ascii="Times New Roman" w:eastAsia="PMingLiU" w:hAnsi="Times New Roman" w:cs="Times New Roman"/>
          <w:i/>
          <w:iCs/>
          <w:color w:val="000000"/>
          <w:kern w:val="0"/>
          <w:sz w:val="20"/>
          <w:szCs w:val="20"/>
        </w:rPr>
      </w:pPr>
      <w:r>
        <w:rPr>
          <w:rFonts w:asciiTheme="minorEastAsia" w:hAnsiTheme="minorEastAsia" w:cs="PMingLiU" w:hint="eastAsia"/>
          <w:color w:val="000000"/>
          <w:kern w:val="0"/>
          <w:sz w:val="20"/>
          <w:szCs w:val="20"/>
        </w:rPr>
        <w:t xml:space="preserve">          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西文書刊名：</w:t>
      </w:r>
      <w:r>
        <w:rPr>
          <w:rFonts w:ascii="Times New Roman" w:eastAsia="PMingLiU" w:hAnsi="Times New Roman" w:cs="Times New Roman"/>
          <w:i/>
          <w:iCs/>
          <w:color w:val="000000"/>
          <w:kern w:val="0"/>
          <w:sz w:val="20"/>
          <w:szCs w:val="20"/>
        </w:rPr>
        <w:t>American Sociological Review</w:t>
      </w:r>
    </w:p>
    <w:p w:rsidR="00E66507" w:rsidRDefault="006F62C1" w:rsidP="006F62C1">
      <w:pPr>
        <w:rPr>
          <w:rFonts w:ascii="DFKaiShu-SB-Estd-BF" w:cs="DFKaiShu-SB-Estd-BF" w:hint="eastAsia"/>
          <w:color w:val="000000"/>
          <w:kern w:val="0"/>
          <w:sz w:val="20"/>
          <w:szCs w:val="20"/>
        </w:rPr>
      </w:pPr>
      <w:r>
        <w:rPr>
          <w:rFonts w:asciiTheme="minorEastAsia" w:hAnsiTheme="minorEastAsia" w:cs="PMingLiU" w:hint="eastAsia"/>
          <w:color w:val="000000"/>
          <w:kern w:val="0"/>
          <w:sz w:val="20"/>
          <w:szCs w:val="20"/>
        </w:rPr>
        <w:t xml:space="preserve">          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中日文篇名：</w:t>
      </w:r>
      <w:r>
        <w:rPr>
          <w:rFonts w:ascii="DFKaiShu-SB-Estd-BF" w:eastAsia="DFKaiShu-SB-Estd-BF" w:cs="DFKaiShu-SB-Estd-BF" w:hint="eastAsia"/>
          <w:color w:val="000000"/>
          <w:kern w:val="0"/>
          <w:sz w:val="20"/>
          <w:szCs w:val="20"/>
        </w:rPr>
        <w:t>〈企業組織中升遷機會的決定及員工的期望〉</w:t>
      </w:r>
    </w:p>
    <w:p w:rsidR="006F62C1" w:rsidRDefault="006F62C1" w:rsidP="006F62C1">
      <w:pPr>
        <w:autoSpaceDE w:val="0"/>
        <w:autoSpaceDN w:val="0"/>
        <w:adjustRightInd w:val="0"/>
        <w:rPr>
          <w:rFonts w:ascii="Times New Roman" w:eastAsia="PMingLiU" w:hAnsi="Times New Roman" w:cs="Times New Roman"/>
          <w:kern w:val="0"/>
          <w:sz w:val="20"/>
          <w:szCs w:val="20"/>
        </w:rPr>
      </w:pPr>
      <w:r>
        <w:rPr>
          <w:rFonts w:asciiTheme="minorEastAsia" w:hAnsiTheme="minorEastAsia" w:cs="PMingLiU" w:hint="eastAsia"/>
          <w:kern w:val="0"/>
          <w:sz w:val="20"/>
          <w:szCs w:val="20"/>
        </w:rPr>
        <w:t xml:space="preserve">          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西文篇名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：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“Social Problems and the Quality of Life”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（四）標題：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1. </w:t>
      </w:r>
      <w:r>
        <w:rPr>
          <w:rFonts w:ascii="PMingLiU" w:eastAsia="PMingLiU" w:cs="PMingLiU" w:hint="eastAsia"/>
          <w:kern w:val="0"/>
          <w:sz w:val="20"/>
          <w:szCs w:val="20"/>
        </w:rPr>
        <w:t>中文大小標題以一，（一），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</w:t>
      </w:r>
      <w:r>
        <w:rPr>
          <w:rFonts w:ascii="PMingLiU" w:eastAsia="PMingLiU" w:cs="PMingLiU" w:hint="eastAsia"/>
          <w:kern w:val="0"/>
          <w:sz w:val="20"/>
          <w:szCs w:val="20"/>
        </w:rPr>
        <w:t>，（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</w:t>
      </w:r>
      <w:r>
        <w:rPr>
          <w:rFonts w:ascii="PMingLiU" w:eastAsia="PMingLiU" w:cs="PMingLiU" w:hint="eastAsia"/>
          <w:kern w:val="0"/>
          <w:sz w:val="20"/>
          <w:szCs w:val="20"/>
        </w:rPr>
        <w:t>），（</w:t>
      </w:r>
      <w:proofErr w:type="spellStart"/>
      <w:r>
        <w:rPr>
          <w:rFonts w:ascii="Times New Roman" w:eastAsia="PMingLiU" w:hAnsi="Times New Roman" w:cs="Times New Roman"/>
          <w:kern w:val="0"/>
          <w:sz w:val="20"/>
          <w:szCs w:val="20"/>
        </w:rPr>
        <w:t>i</w:t>
      </w:r>
      <w:proofErr w:type="spellEnd"/>
      <w:r>
        <w:rPr>
          <w:rFonts w:ascii="PMingLiU" w:eastAsia="PMingLiU" w:cs="PMingLiU" w:hint="eastAsia"/>
          <w:kern w:val="0"/>
          <w:sz w:val="20"/>
          <w:szCs w:val="20"/>
        </w:rPr>
        <w:t>）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為序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2. </w:t>
      </w:r>
      <w:r>
        <w:rPr>
          <w:rFonts w:ascii="PMingLiU" w:eastAsia="PMingLiU" w:cs="PMingLiU" w:hint="eastAsia"/>
          <w:kern w:val="0"/>
          <w:sz w:val="20"/>
          <w:szCs w:val="20"/>
        </w:rPr>
        <w:t>西文大小標題以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A</w:t>
      </w:r>
      <w:r>
        <w:rPr>
          <w:rFonts w:ascii="PMingLiU" w:eastAsia="PMingLiU" w:cs="PMingLiU" w:hint="eastAsia"/>
          <w:kern w:val="0"/>
          <w:sz w:val="20"/>
          <w:szCs w:val="20"/>
        </w:rPr>
        <w:t>，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</w:t>
      </w:r>
      <w:r>
        <w:rPr>
          <w:rFonts w:ascii="PMingLiU" w:eastAsia="PMingLiU" w:cs="PMingLiU" w:hint="eastAsia"/>
          <w:kern w:val="0"/>
          <w:sz w:val="20"/>
          <w:szCs w:val="20"/>
        </w:rPr>
        <w:t>，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a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）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，（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</w:t>
      </w:r>
      <w:r>
        <w:rPr>
          <w:rFonts w:ascii="PMingLiU" w:eastAsia="PMingLiU" w:cs="PMingLiU" w:hint="eastAsia"/>
          <w:kern w:val="0"/>
          <w:sz w:val="20"/>
          <w:szCs w:val="20"/>
        </w:rPr>
        <w:t>）（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a</w:t>
      </w:r>
      <w:r>
        <w:rPr>
          <w:rFonts w:ascii="PMingLiU" w:eastAsia="PMingLiU" w:cs="PMingLiU" w:hint="eastAsia"/>
          <w:kern w:val="0"/>
          <w:sz w:val="20"/>
          <w:szCs w:val="20"/>
        </w:rPr>
        <w:t>）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為序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（五）分項：內文中之分項以（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</w:t>
      </w:r>
      <w:r>
        <w:rPr>
          <w:rFonts w:ascii="PMingLiU" w:eastAsia="PMingLiU" w:cs="PMingLiU" w:hint="eastAsia"/>
          <w:kern w:val="0"/>
          <w:sz w:val="20"/>
          <w:szCs w:val="20"/>
        </w:rPr>
        <w:t>）、（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2</w:t>
      </w:r>
      <w:r>
        <w:rPr>
          <w:rFonts w:ascii="PMingLiU" w:eastAsia="PMingLiU" w:cs="PMingLiU" w:hint="eastAsia"/>
          <w:kern w:val="0"/>
          <w:sz w:val="20"/>
          <w:szCs w:val="20"/>
        </w:rPr>
        <w:t>）、（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3</w:t>
      </w:r>
      <w:r>
        <w:rPr>
          <w:rFonts w:ascii="PMingLiU" w:eastAsia="PMingLiU" w:cs="PMingLiU" w:hint="eastAsia"/>
          <w:kern w:val="0"/>
          <w:sz w:val="20"/>
          <w:szCs w:val="20"/>
        </w:rPr>
        <w:t>）…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…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表示；再來以</w:t>
      </w:r>
      <w:r>
        <w:rPr>
          <w:rFonts w:asciiTheme="minorEastAsia" w:hAnsiTheme="minorEastAsia" w:cs="Times New Roman"/>
          <w:kern w:val="0"/>
          <w:sz w:val="20"/>
          <w:szCs w:val="20"/>
        </w:rPr>
        <w:fldChar w:fldCharType="begin"/>
      </w:r>
      <w:r>
        <w:rPr>
          <w:rFonts w:asciiTheme="minorEastAsia" w:hAnsiTheme="minorEastAsia" w:cs="Times New Roman"/>
          <w:kern w:val="0"/>
          <w:sz w:val="20"/>
          <w:szCs w:val="20"/>
        </w:rPr>
        <w:instrText xml:space="preserve"> </w:instrText>
      </w:r>
      <w:r>
        <w:rPr>
          <w:rFonts w:asciiTheme="minorEastAsia" w:hAnsiTheme="minorEastAsia" w:cs="Times New Roman" w:hint="eastAsia"/>
          <w:kern w:val="0"/>
          <w:sz w:val="20"/>
          <w:szCs w:val="20"/>
        </w:rPr>
        <w:instrText>eq \o\ac(○,</w:instrText>
      </w:r>
      <w:r w:rsidRPr="006F62C1">
        <w:rPr>
          <w:rFonts w:ascii="新細明體" w:hAnsiTheme="minorEastAsia" w:cs="Times New Roman" w:hint="eastAsia"/>
          <w:kern w:val="0"/>
          <w:position w:val="2"/>
          <w:sz w:val="14"/>
          <w:szCs w:val="20"/>
        </w:rPr>
        <w:instrText>1</w:instrText>
      </w:r>
      <w:r>
        <w:rPr>
          <w:rFonts w:asciiTheme="minorEastAsia" w:hAnsiTheme="minorEastAsia" w:cs="Times New Roman" w:hint="eastAsia"/>
          <w:kern w:val="0"/>
          <w:sz w:val="20"/>
          <w:szCs w:val="20"/>
        </w:rPr>
        <w:instrText>)</w:instrText>
      </w:r>
      <w:r>
        <w:rPr>
          <w:rFonts w:asciiTheme="minorEastAsia" w:hAnsiTheme="minorEastAsia" w:cs="Times New Roman"/>
          <w:kern w:val="0"/>
          <w:sz w:val="20"/>
          <w:szCs w:val="20"/>
        </w:rPr>
        <w:fldChar w:fldCharType="end"/>
      </w:r>
      <w:r>
        <w:rPr>
          <w:rFonts w:ascii="PMingLiU" w:eastAsia="PMingLiU" w:cs="PMingLiU" w:hint="eastAsia"/>
          <w:kern w:val="0"/>
          <w:sz w:val="20"/>
          <w:szCs w:val="20"/>
        </w:rPr>
        <w:t>、</w:t>
      </w:r>
      <w:r>
        <w:rPr>
          <w:rFonts w:asciiTheme="minorEastAsia" w:hAnsiTheme="minorEastAsia" w:cs="Times New Roman"/>
          <w:kern w:val="0"/>
          <w:sz w:val="20"/>
          <w:szCs w:val="20"/>
        </w:rPr>
        <w:fldChar w:fldCharType="begin"/>
      </w:r>
      <w:r>
        <w:rPr>
          <w:rFonts w:asciiTheme="minorEastAsia" w:hAnsiTheme="minorEastAsia" w:cs="Times New Roman"/>
          <w:kern w:val="0"/>
          <w:sz w:val="20"/>
          <w:szCs w:val="20"/>
        </w:rPr>
        <w:instrText xml:space="preserve"> </w:instrText>
      </w:r>
      <w:r>
        <w:rPr>
          <w:rFonts w:asciiTheme="minorEastAsia" w:hAnsiTheme="minorEastAsia" w:cs="Times New Roman" w:hint="eastAsia"/>
          <w:kern w:val="0"/>
          <w:sz w:val="20"/>
          <w:szCs w:val="20"/>
        </w:rPr>
        <w:instrText>eq \o\ac(○,</w:instrText>
      </w:r>
      <w:r w:rsidRPr="006F62C1">
        <w:rPr>
          <w:rFonts w:ascii="新細明體" w:hAnsiTheme="minorEastAsia" w:cs="Times New Roman" w:hint="eastAsia"/>
          <w:kern w:val="0"/>
          <w:position w:val="2"/>
          <w:sz w:val="14"/>
          <w:szCs w:val="20"/>
        </w:rPr>
        <w:instrText>2</w:instrText>
      </w:r>
      <w:r>
        <w:rPr>
          <w:rFonts w:asciiTheme="minorEastAsia" w:hAnsiTheme="minorEastAsia" w:cs="Times New Roman" w:hint="eastAsia"/>
          <w:kern w:val="0"/>
          <w:sz w:val="20"/>
          <w:szCs w:val="20"/>
        </w:rPr>
        <w:instrText>)</w:instrText>
      </w:r>
      <w:r>
        <w:rPr>
          <w:rFonts w:asciiTheme="minorEastAsia" w:hAnsiTheme="minorEastAsia" w:cs="Times New Roman"/>
          <w:kern w:val="0"/>
          <w:sz w:val="20"/>
          <w:szCs w:val="20"/>
        </w:rPr>
        <w:fldChar w:fldCharType="end"/>
      </w:r>
      <w:r>
        <w:rPr>
          <w:rFonts w:ascii="PMingLiU" w:eastAsia="PMingLiU" w:cs="PMingLiU" w:hint="eastAsia"/>
          <w:kern w:val="0"/>
          <w:sz w:val="20"/>
          <w:szCs w:val="20"/>
        </w:rPr>
        <w:t>、</w:t>
      </w:r>
      <w:r>
        <w:rPr>
          <w:rFonts w:asciiTheme="minorEastAsia" w:hAnsiTheme="minorEastAsia" w:cs="Times New Roman"/>
          <w:kern w:val="0"/>
          <w:sz w:val="20"/>
          <w:szCs w:val="20"/>
        </w:rPr>
        <w:fldChar w:fldCharType="begin"/>
      </w:r>
      <w:r>
        <w:rPr>
          <w:rFonts w:asciiTheme="minorEastAsia" w:hAnsiTheme="minorEastAsia" w:cs="Times New Roman"/>
          <w:kern w:val="0"/>
          <w:sz w:val="20"/>
          <w:szCs w:val="20"/>
        </w:rPr>
        <w:instrText xml:space="preserve"> </w:instrText>
      </w:r>
      <w:r>
        <w:rPr>
          <w:rFonts w:asciiTheme="minorEastAsia" w:hAnsiTheme="minorEastAsia" w:cs="Times New Roman" w:hint="eastAsia"/>
          <w:kern w:val="0"/>
          <w:sz w:val="20"/>
          <w:szCs w:val="20"/>
        </w:rPr>
        <w:instrText>eq \o\ac(○,</w:instrText>
      </w:r>
      <w:r w:rsidRPr="006F62C1">
        <w:rPr>
          <w:rFonts w:ascii="新細明體" w:hAnsiTheme="minorEastAsia" w:cs="Times New Roman" w:hint="eastAsia"/>
          <w:kern w:val="0"/>
          <w:position w:val="2"/>
          <w:sz w:val="14"/>
          <w:szCs w:val="20"/>
        </w:rPr>
        <w:instrText>3</w:instrText>
      </w:r>
      <w:r>
        <w:rPr>
          <w:rFonts w:asciiTheme="minorEastAsia" w:hAnsiTheme="minorEastAsia" w:cs="Times New Roman" w:hint="eastAsia"/>
          <w:kern w:val="0"/>
          <w:sz w:val="20"/>
          <w:szCs w:val="20"/>
        </w:rPr>
        <w:instrText>)</w:instrText>
      </w:r>
      <w:r>
        <w:rPr>
          <w:rFonts w:asciiTheme="minorEastAsia" w:hAnsiTheme="minorEastAsia" w:cs="Times New Roman"/>
          <w:kern w:val="0"/>
          <w:sz w:val="20"/>
          <w:szCs w:val="20"/>
        </w:rPr>
        <w:fldChar w:fldCharType="end"/>
      </w:r>
      <w:r>
        <w:rPr>
          <w:rFonts w:ascii="PMingLiU" w:eastAsia="PMingLiU" w:cs="PMingLiU" w:hint="eastAsia"/>
          <w:kern w:val="0"/>
          <w:sz w:val="20"/>
          <w:szCs w:val="20"/>
        </w:rPr>
        <w:t>…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…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表示。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（六）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引書範例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：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1. </w:t>
      </w:r>
      <w:r>
        <w:rPr>
          <w:rFonts w:ascii="PMingLiU" w:eastAsia="PMingLiU" w:cs="PMingLiU" w:hint="eastAsia"/>
          <w:kern w:val="0"/>
          <w:sz w:val="20"/>
          <w:szCs w:val="20"/>
        </w:rPr>
        <w:t>不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獨立起段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：</w:t>
      </w:r>
    </w:p>
    <w:p w:rsidR="006F62C1" w:rsidRDefault="006F62C1" w:rsidP="006F62C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proofErr w:type="spellStart"/>
      <w:r>
        <w:rPr>
          <w:rFonts w:ascii="Times New Roman" w:eastAsia="PMingLiU" w:hAnsi="Times New Roman" w:cs="Times New Roman"/>
          <w:kern w:val="0"/>
          <w:sz w:val="20"/>
          <w:szCs w:val="20"/>
        </w:rPr>
        <w:t>Asike</w:t>
      </w:r>
      <w:proofErr w:type="spell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說：「慣性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足以塑模人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的觀念，甚至決定傳統行為。而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慣俗久經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建構，便成傳統。」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lastRenderedPageBreak/>
        <w:t xml:space="preserve">2. 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獨立起段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：標楷體。不用引號，且左右內縮兩個字元。</w:t>
      </w:r>
    </w:p>
    <w:p w:rsidR="006F62C1" w:rsidRDefault="006F62C1" w:rsidP="006F62C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Theme="minorEastAsia" w:hAnsiTheme="minorEastAsia" w:cs="DFKaiShu-SB-Estd-BF" w:hint="eastAsia"/>
          <w:kern w:val="0"/>
          <w:sz w:val="20"/>
          <w:szCs w:val="20"/>
        </w:rPr>
        <w:t xml:space="preserve"> 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所謂信任格局，高承恕、陳介玄指出：所謂信任指的是一種「人際的信任」。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3. 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內文引書結束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後加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註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出處：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「有的住戶把家庭裝潢得很好，門外的世界好像跟他毫不相干，對社區的認同低，和鄰居不大來往。」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（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畢恆達</w:t>
      </w:r>
      <w:r>
        <w:rPr>
          <w:rFonts w:ascii="PMingLiU" w:eastAsia="PMingLiU" w:cs="PMingLiU"/>
          <w:kern w:val="0"/>
          <w:sz w:val="20"/>
          <w:szCs w:val="20"/>
        </w:rPr>
        <w:t xml:space="preserve"> 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1983</w:t>
      </w:r>
      <w:r>
        <w:rPr>
          <w:rFonts w:ascii="PMingLiU" w:eastAsia="PMingLiU" w:cs="PMingLiU" w:hint="eastAsia"/>
          <w:kern w:val="0"/>
          <w:sz w:val="20"/>
          <w:szCs w:val="20"/>
        </w:rPr>
        <w:t>：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169-173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）</w:t>
      </w:r>
      <w:proofErr w:type="gramEnd"/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4. </w:t>
      </w:r>
      <w:r>
        <w:rPr>
          <w:rFonts w:ascii="PMingLiU" w:eastAsia="PMingLiU" w:cs="PMingLiU" w:hint="eastAsia"/>
          <w:kern w:val="0"/>
          <w:sz w:val="20"/>
          <w:szCs w:val="20"/>
        </w:rPr>
        <w:t>引用書目：直接將作者、出版時間、頁數寫在正文中適當位置。中文著錄作者用「姓名」，西、日文著錄作者用「姓」即可。作者有兩人時，統一以「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A</w:t>
      </w:r>
      <w:r>
        <w:rPr>
          <w:rFonts w:ascii="PMingLiU" w:eastAsia="PMingLiU" w:cs="PMingLiU" w:hint="eastAsia"/>
          <w:kern w:val="0"/>
          <w:sz w:val="20"/>
          <w:szCs w:val="20"/>
        </w:rPr>
        <w:t>及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B</w:t>
      </w:r>
      <w:r>
        <w:rPr>
          <w:rFonts w:ascii="PMingLiU" w:eastAsia="PMingLiU" w:cs="PMingLiU" w:hint="eastAsia"/>
          <w:kern w:val="0"/>
          <w:sz w:val="20"/>
          <w:szCs w:val="20"/>
        </w:rPr>
        <w:t>」的形式書寫。作者於三人以上時，第一次引用時列出所有作者，第二次以後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PMingLiU" w:cs="PMingLiU" w:hint="eastAsia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引用，僅列出第一位作者，餘者以「等人」（中文）或「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et al.</w:t>
      </w:r>
      <w:r>
        <w:rPr>
          <w:rFonts w:ascii="PMingLiU" w:eastAsia="PMingLiU" w:cs="PMingLiU" w:hint="eastAsia"/>
          <w:kern w:val="0"/>
          <w:sz w:val="20"/>
          <w:szCs w:val="20"/>
        </w:rPr>
        <w:t>」（英文）代替。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範例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</w:t>
      </w:r>
      <w:r>
        <w:rPr>
          <w:rFonts w:ascii="PMingLiU" w:eastAsia="PMingLiU" w:cs="PMingLiU" w:hint="eastAsia"/>
          <w:kern w:val="0"/>
          <w:sz w:val="20"/>
          <w:szCs w:val="20"/>
        </w:rPr>
        <w:t>：</w:t>
      </w:r>
    </w:p>
    <w:p w:rsidR="006F62C1" w:rsidRDefault="006F62C1" w:rsidP="006F62C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（胡佛、朱雲漢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1992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）、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（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許嘉猷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1982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：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266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；蔡淑鈴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1986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：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303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）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、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（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伊慶</w:t>
      </w:r>
    </w:p>
    <w:p w:rsidR="006F62C1" w:rsidRDefault="006F62C1" w:rsidP="006F62C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春等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1994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）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、（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Kelly and Kaplan 1990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）、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（</w:t>
      </w:r>
      <w:proofErr w:type="gramEnd"/>
      <w:r>
        <w:rPr>
          <w:rFonts w:ascii="Times New Roman" w:eastAsia="PMingLiU" w:hAnsi="Times New Roman" w:cs="Times New Roman"/>
          <w:kern w:val="0"/>
          <w:sz w:val="20"/>
          <w:szCs w:val="20"/>
        </w:rPr>
        <w:t>Batson et al. 1986, 1973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）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；</w:t>
      </w:r>
    </w:p>
    <w:p w:rsidR="006F62C1" w:rsidRDefault="006F62C1" w:rsidP="006F62C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（</w:t>
      </w:r>
      <w:proofErr w:type="spellStart"/>
      <w:proofErr w:type="gramEnd"/>
      <w:r>
        <w:rPr>
          <w:rFonts w:ascii="Times New Roman" w:eastAsia="PMingLiU" w:hAnsi="Times New Roman" w:cs="Times New Roman"/>
          <w:kern w:val="0"/>
          <w:sz w:val="20"/>
          <w:szCs w:val="20"/>
        </w:rPr>
        <w:t>Blumer</w:t>
      </w:r>
      <w:proofErr w:type="spellEnd"/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 1958; </w:t>
      </w:r>
      <w:proofErr w:type="spellStart"/>
      <w:r>
        <w:rPr>
          <w:rFonts w:ascii="Times New Roman" w:eastAsia="PMingLiU" w:hAnsi="Times New Roman" w:cs="Times New Roman"/>
          <w:kern w:val="0"/>
          <w:sz w:val="20"/>
          <w:szCs w:val="20"/>
        </w:rPr>
        <w:t>Hraba</w:t>
      </w:r>
      <w:proofErr w:type="spellEnd"/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 et al. 1989; Bobo and Hutching 1996: 55-56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；胡佛、朱雲漢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DFKaiShu-SB-Estd-BF" w:cs="DFKaiShu-SB-Estd-BF" w:hint="eastAsia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t>1992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：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26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）</w:t>
      </w:r>
      <w:proofErr w:type="gramEnd"/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範例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2</w:t>
      </w:r>
      <w:r>
        <w:rPr>
          <w:rFonts w:ascii="PMingLiU" w:eastAsia="PMingLiU" w:cs="PMingLiU" w:hint="eastAsia"/>
          <w:kern w:val="0"/>
          <w:sz w:val="20"/>
          <w:szCs w:val="20"/>
        </w:rPr>
        <w:t>：正文中已有作者姓名</w:t>
      </w:r>
    </w:p>
    <w:p w:rsidR="006F62C1" w:rsidRDefault="006F62C1" w:rsidP="006F62C1">
      <w:pPr>
        <w:autoSpaceDE w:val="0"/>
        <w:autoSpaceDN w:val="0"/>
        <w:adjustRightInd w:val="0"/>
        <w:rPr>
          <w:rFonts w:ascii="Times New Roman" w:eastAsia="PMingLiU" w:hAnsi="Times New Roman" w:cs="Times New Roman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黃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光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國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（</w:t>
      </w:r>
      <w:proofErr w:type="gramEnd"/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1988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：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458-459 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）</w:t>
      </w:r>
      <w:proofErr w:type="gramEnd"/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、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Fisher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（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1975, 1982, 1984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）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、</w:t>
      </w:r>
      <w:proofErr w:type="spellStart"/>
      <w:r>
        <w:rPr>
          <w:rFonts w:ascii="Times New Roman" w:eastAsia="PMingLiU" w:hAnsi="Times New Roman" w:cs="Times New Roman"/>
          <w:kern w:val="0"/>
          <w:sz w:val="20"/>
          <w:szCs w:val="20"/>
        </w:rPr>
        <w:t>DiPrete</w:t>
      </w:r>
      <w:proofErr w:type="spellEnd"/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及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Soule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DFKaiShu-SB-Estd-BF" w:cs="DFKaiShu-SB-Estd-BF" w:hint="eastAsia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（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1988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）、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Ishida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等人（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1997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）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5. 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論文均於文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後以條列方式逐項列出引用文獻（請勿以文後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註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釋方式）；引用文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PMingLiU" w:cs="PMingLiU" w:hint="eastAsia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獻格式務必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與引書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範例一致。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（七）附加原文的寫法：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1. </w:t>
      </w:r>
      <w:r>
        <w:rPr>
          <w:rFonts w:ascii="PMingLiU" w:eastAsia="PMingLiU" w:cs="PMingLiU" w:hint="eastAsia"/>
          <w:kern w:val="0"/>
          <w:sz w:val="20"/>
          <w:szCs w:val="20"/>
        </w:rPr>
        <w:t>一般用語：</w:t>
      </w:r>
    </w:p>
    <w:p w:rsidR="006F62C1" w:rsidRDefault="006F62C1" w:rsidP="006F62C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擴充跟人際互動的社會圈（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social circles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）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2. </w:t>
      </w:r>
      <w:r>
        <w:rPr>
          <w:rFonts w:ascii="PMingLiU" w:eastAsia="PMingLiU" w:cs="PMingLiU" w:hint="eastAsia"/>
          <w:kern w:val="0"/>
          <w:sz w:val="20"/>
          <w:szCs w:val="20"/>
        </w:rPr>
        <w:t>專有名詞：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在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《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學術人》（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 xml:space="preserve">Homo </w:t>
      </w:r>
      <w:proofErr w:type="spellStart"/>
      <w:r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>Academicus</w:t>
      </w:r>
      <w:proofErr w:type="spellEnd"/>
      <w:r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）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一書中，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布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迪厄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（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Pierre </w:t>
      </w:r>
      <w:proofErr w:type="spellStart"/>
      <w:r>
        <w:rPr>
          <w:rFonts w:ascii="Times New Roman" w:eastAsia="PMingLiU" w:hAnsi="Times New Roman" w:cs="Times New Roman"/>
          <w:kern w:val="0"/>
          <w:sz w:val="20"/>
          <w:szCs w:val="20"/>
        </w:rPr>
        <w:t>Felix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Bourdieu</w:t>
      </w:r>
      <w:proofErr w:type="spell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）…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…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（八）圖版、插圖及表格：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1. </w:t>
      </w:r>
      <w:r>
        <w:rPr>
          <w:rFonts w:ascii="PMingLiU" w:eastAsia="PMingLiU" w:cs="PMingLiU" w:hint="eastAsia"/>
          <w:kern w:val="0"/>
          <w:sz w:val="20"/>
          <w:szCs w:val="20"/>
        </w:rPr>
        <w:t>排序：</w:t>
      </w:r>
    </w:p>
    <w:p w:rsidR="006F62C1" w:rsidRDefault="006F62C1" w:rsidP="006F62C1">
      <w:pPr>
        <w:autoSpaceDE w:val="0"/>
        <w:autoSpaceDN w:val="0"/>
        <w:adjustRightInd w:val="0"/>
        <w:rPr>
          <w:rFonts w:ascii="Times New Roman" w:eastAsia="PMingLiU" w:hAnsi="Times New Roman" w:cs="Times New Roman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圖版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</w:t>
      </w:r>
      <w:r>
        <w:rPr>
          <w:rFonts w:ascii="PMingLiU" w:eastAsia="PMingLiU" w:cs="PMingLiU" w:hint="eastAsia"/>
          <w:kern w:val="0"/>
          <w:sz w:val="20"/>
          <w:szCs w:val="20"/>
        </w:rPr>
        <w:t>，圖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</w:t>
      </w:r>
      <w:r>
        <w:rPr>
          <w:rFonts w:ascii="PMingLiU" w:eastAsia="PMingLiU" w:cs="PMingLiU" w:hint="eastAsia"/>
          <w:kern w:val="0"/>
          <w:sz w:val="20"/>
          <w:szCs w:val="20"/>
        </w:rPr>
        <w:t>，表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</w:t>
      </w:r>
      <w:r>
        <w:rPr>
          <w:rFonts w:ascii="PMingLiU" w:eastAsia="PMingLiU" w:cs="PMingLiU" w:hint="eastAsia"/>
          <w:kern w:val="0"/>
          <w:sz w:val="20"/>
          <w:szCs w:val="20"/>
        </w:rPr>
        <w:t>；圖版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1-1</w:t>
      </w:r>
      <w:r>
        <w:rPr>
          <w:rFonts w:ascii="PMingLiU" w:eastAsia="PMingLiU" w:cs="PMingLiU" w:hint="eastAsia"/>
          <w:kern w:val="0"/>
          <w:sz w:val="20"/>
          <w:szCs w:val="20"/>
        </w:rPr>
        <w:t>，圖版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1-2</w:t>
      </w:r>
      <w:r>
        <w:rPr>
          <w:rFonts w:ascii="PMingLiU" w:eastAsia="PMingLiU" w:cs="PMingLiU" w:hint="eastAsia"/>
          <w:kern w:val="0"/>
          <w:sz w:val="20"/>
          <w:szCs w:val="20"/>
        </w:rPr>
        <w:t>；圖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1-1</w:t>
      </w:r>
      <w:r>
        <w:rPr>
          <w:rFonts w:ascii="PMingLiU" w:eastAsia="PMingLiU" w:cs="PMingLiU" w:hint="eastAsia"/>
          <w:kern w:val="0"/>
          <w:sz w:val="20"/>
          <w:szCs w:val="20"/>
        </w:rPr>
        <w:t>，圖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1-2</w:t>
      </w:r>
      <w:r>
        <w:rPr>
          <w:rFonts w:ascii="PMingLiU" w:eastAsia="PMingLiU" w:cs="PMingLiU" w:hint="eastAsia"/>
          <w:kern w:val="0"/>
          <w:sz w:val="20"/>
          <w:szCs w:val="20"/>
        </w:rPr>
        <w:t>；表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1-1</w:t>
      </w:r>
      <w:r>
        <w:rPr>
          <w:rFonts w:ascii="PMingLiU" w:eastAsia="PMingLiU" w:cs="PMingLiU" w:hint="eastAsia"/>
          <w:kern w:val="0"/>
          <w:sz w:val="20"/>
          <w:szCs w:val="20"/>
        </w:rPr>
        <w:t>，表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1-2</w:t>
      </w:r>
      <w:r>
        <w:rPr>
          <w:rFonts w:ascii="PMingLiU" w:eastAsia="PMingLiU" w:cs="PMingLiU" w:hint="eastAsia"/>
          <w:kern w:val="0"/>
          <w:sz w:val="20"/>
          <w:szCs w:val="20"/>
        </w:rPr>
        <w:t>；或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Plate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t>1</w:t>
      </w:r>
      <w:r>
        <w:rPr>
          <w:rFonts w:ascii="PMingLiU" w:eastAsia="PMingLiU" w:cs="PMingLiU" w:hint="eastAsia"/>
          <w:kern w:val="0"/>
          <w:sz w:val="20"/>
          <w:szCs w:val="20"/>
        </w:rPr>
        <w:t>，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Figure 1</w:t>
      </w:r>
      <w:r>
        <w:rPr>
          <w:rFonts w:ascii="PMingLiU" w:eastAsia="PMingLiU" w:cs="PMingLiU" w:hint="eastAsia"/>
          <w:kern w:val="0"/>
          <w:sz w:val="20"/>
          <w:szCs w:val="20"/>
        </w:rPr>
        <w:t>，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Table 1</w:t>
      </w:r>
      <w:r>
        <w:rPr>
          <w:rFonts w:ascii="PMingLiU" w:eastAsia="PMingLiU" w:cs="PMingLiU" w:hint="eastAsia"/>
          <w:kern w:val="0"/>
          <w:sz w:val="20"/>
          <w:szCs w:val="20"/>
        </w:rPr>
        <w:t>；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Plate 1-1</w:t>
      </w:r>
      <w:r>
        <w:rPr>
          <w:rFonts w:ascii="PMingLiU" w:eastAsia="PMingLiU" w:cs="PMingLiU" w:hint="eastAsia"/>
          <w:kern w:val="0"/>
          <w:sz w:val="20"/>
          <w:szCs w:val="20"/>
        </w:rPr>
        <w:t>，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Plate 1-2</w:t>
      </w:r>
      <w:r>
        <w:rPr>
          <w:rFonts w:ascii="PMingLiU" w:eastAsia="PMingLiU" w:cs="PMingLiU" w:hint="eastAsia"/>
          <w:kern w:val="0"/>
          <w:sz w:val="20"/>
          <w:szCs w:val="20"/>
        </w:rPr>
        <w:t>，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Plate 1-3</w:t>
      </w:r>
      <w:r>
        <w:rPr>
          <w:rFonts w:ascii="PMingLiU" w:eastAsia="PMingLiU" w:cs="PMingLiU" w:hint="eastAsia"/>
          <w:kern w:val="0"/>
          <w:sz w:val="20"/>
          <w:szCs w:val="20"/>
        </w:rPr>
        <w:t>；餘則依此類推。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PMingLiU" w:cs="PMingLiU" w:hint="eastAsia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2. </w:t>
      </w:r>
      <w:r>
        <w:rPr>
          <w:rFonts w:ascii="PMingLiU" w:eastAsia="PMingLiU" w:cs="PMingLiU" w:hint="eastAsia"/>
          <w:kern w:val="0"/>
          <w:sz w:val="20"/>
          <w:szCs w:val="20"/>
        </w:rPr>
        <w:t>圖表名的位置：圖名、圖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註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在圖下方；表名在表上方，表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註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在表下方。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（九）數字寫法：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1. </w:t>
      </w:r>
      <w:r>
        <w:rPr>
          <w:rFonts w:ascii="PMingLiU" w:eastAsia="PMingLiU" w:cs="PMingLiU" w:hint="eastAsia"/>
          <w:kern w:val="0"/>
          <w:sz w:val="20"/>
          <w:szCs w:val="20"/>
        </w:rPr>
        <w:t>年代、測量、統計數據以阿拉伯數字著錄。餘者，十以下的數字以國字著錄，十以上以阿拉伯數字著錄。四位數以上數字加四位數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撇節法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。範例：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85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年間所進行之第一次調查，其樣本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係依分層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三段隨機抽樣法抽出，共有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2,100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人。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kern w:val="0"/>
          <w:sz w:val="20"/>
          <w:szCs w:val="20"/>
        </w:rPr>
        <w:t xml:space="preserve">2. </w:t>
      </w:r>
      <w:r>
        <w:rPr>
          <w:rFonts w:ascii="PMingLiU" w:eastAsia="PMingLiU" w:cs="PMingLiU" w:hint="eastAsia"/>
          <w:kern w:val="0"/>
          <w:sz w:val="20"/>
          <w:szCs w:val="20"/>
        </w:rPr>
        <w:t>屬於一連串的相關數字群，全文統一用阿拉伯數字或國字表示，切勿混和使用。範例：</w:t>
      </w:r>
    </w:p>
    <w:p w:rsidR="006F62C1" w:rsidRDefault="006F62C1" w:rsidP="006F62C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已婚者請回答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第一題至第六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題，未婚者請回答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第七題至第九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題</w:t>
      </w:r>
    </w:p>
    <w:p w:rsidR="006F62C1" w:rsidRPr="006F62C1" w:rsidRDefault="006F62C1" w:rsidP="006F62C1">
      <w:pPr>
        <w:rPr>
          <w:rFonts w:ascii="DFKaiShu-SB-Estd-BF" w:cs="DFKaiShu-SB-Estd-BF" w:hint="eastAsia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已婚者請回答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第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1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題至第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6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題，未婚者請回答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第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7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題至第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9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題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PMingLiU" w:cs="PMingLiU" w:hint="eastAsia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（十）簡稱：第一次出現時需用全稱，而以括弧註明所欲使用之簡稱，第二次以後出現，即可使用所訂之簡稱。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Cs w:val="24"/>
        </w:rPr>
      </w:pPr>
      <w:r>
        <w:rPr>
          <w:rFonts w:ascii="PMingLiU" w:eastAsia="PMingLiU" w:cs="PMingLiU" w:hint="eastAsia"/>
          <w:color w:val="000000"/>
          <w:kern w:val="0"/>
          <w:szCs w:val="24"/>
        </w:rPr>
        <w:t>五、附錄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（一）附錄置於參考書目之前。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PMingLiU" w:cs="PMingLiU" w:hint="eastAsia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（二）附錄如有兩個以上時，依國字數字之順序分別註明「附錄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1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」、「附錄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2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」…</w:t>
      </w: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…</w:t>
      </w:r>
      <w:proofErr w:type="gramEnd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，或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Appendix 1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、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Appendix 2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…</w:t>
      </w: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…</w:t>
      </w:r>
      <w:proofErr w:type="gramEnd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。最好有標題，如有標題，格式如「</w:t>
      </w:r>
      <w:r w:rsidRPr="006F62C1">
        <w:rPr>
          <w:rFonts w:ascii="PMingLiU" w:eastAsia="PMingLiU" w:cs="PMingLiU" w:hint="eastAsia"/>
          <w:kern w:val="0"/>
          <w:sz w:val="20"/>
          <w:szCs w:val="20"/>
        </w:rPr>
        <w:t>附錄</w:t>
      </w: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1 </w:t>
      </w:r>
      <w:r w:rsidRPr="006F62C1">
        <w:rPr>
          <w:rFonts w:ascii="PMingLiU" w:eastAsia="PMingLiU" w:cs="PMingLiU" w:hint="eastAsia"/>
          <w:kern w:val="0"/>
          <w:sz w:val="20"/>
          <w:szCs w:val="20"/>
        </w:rPr>
        <w:t>清代台灣</w:t>
      </w:r>
      <w:proofErr w:type="gramStart"/>
      <w:r w:rsidRPr="006F62C1">
        <w:rPr>
          <w:rFonts w:ascii="PMingLiU" w:eastAsia="PMingLiU" w:cs="PMingLiU" w:hint="eastAsia"/>
          <w:kern w:val="0"/>
          <w:sz w:val="20"/>
          <w:szCs w:val="20"/>
        </w:rPr>
        <w:t>大小租業之</w:t>
      </w:r>
      <w:proofErr w:type="gramEnd"/>
      <w:r w:rsidRPr="006F62C1">
        <w:rPr>
          <w:rFonts w:ascii="PMingLiU" w:eastAsia="PMingLiU" w:cs="PMingLiU" w:hint="eastAsia"/>
          <w:kern w:val="0"/>
          <w:sz w:val="20"/>
          <w:szCs w:val="20"/>
        </w:rPr>
        <w:t>性質</w:t>
      </w:r>
      <w:r w:rsidRPr="006F62C1">
        <w:rPr>
          <w:rFonts w:ascii="PMingLiU" w:eastAsia="PMingLiU" w:cs="PMingLiU" w:hint="eastAsia"/>
          <w:kern w:val="0"/>
          <w:sz w:val="22"/>
        </w:rPr>
        <w:t>與成因」。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Cs w:val="24"/>
        </w:rPr>
      </w:pPr>
      <w:r>
        <w:rPr>
          <w:rFonts w:ascii="PMingLiU" w:eastAsia="PMingLiU" w:cs="PMingLiU" w:hint="eastAsia"/>
          <w:color w:val="000000"/>
          <w:kern w:val="0"/>
          <w:szCs w:val="24"/>
        </w:rPr>
        <w:t>六、參考書目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（一）論文正文中所引用之文獻，請在參考書目中列出，若論文正文未引用之文獻，請勿列入參考書目中。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（二）先著錄中日文，後排西方語文。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lastRenderedPageBreak/>
        <w:t>（三）中日文參考書目依作者姓名筆劃排序，西文依字母順序排序。同一作者有數筆參考書目時，自第二筆開始，以一橫線代替作者姓名，並依出版年代排序；同一作者同一年有數項著作時，再以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a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、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b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、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c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…</w:t>
      </w:r>
      <w:proofErr w:type="gramStart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…</w:t>
      </w:r>
      <w:proofErr w:type="gramEnd"/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排序。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（四）著錄格式：依序為作者全名、出版年（西元），再依序為篇名、書名、叢書名、頁次、出版地、出版者等項。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（五）作者於三人以上時，僅列出第一位作者，餘者以「等」或「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et al.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」表示。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（六）範例：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1. </w:t>
      </w:r>
      <w:r w:rsidRPr="006F62C1">
        <w:rPr>
          <w:rFonts w:ascii="PMingLiU" w:eastAsia="PMingLiU" w:cs="PMingLiU" w:hint="eastAsia"/>
          <w:kern w:val="0"/>
          <w:sz w:val="20"/>
          <w:szCs w:val="20"/>
        </w:rPr>
        <w:t>專書：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 w:rsidRPr="006F62C1">
        <w:rPr>
          <w:rFonts w:ascii="PMingLiU" w:eastAsia="PMingLiU" w:cs="PMingLiU" w:hint="eastAsia"/>
          <w:kern w:val="0"/>
          <w:sz w:val="20"/>
          <w:szCs w:val="20"/>
        </w:rPr>
        <w:t>格式：（中）作者，年代，《書名》。出版地：出版者。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Times New Roman" w:eastAsia="PMingLiU" w:hAnsi="Times New Roman" w:cs="Times New Roman"/>
          <w:kern w:val="0"/>
          <w:sz w:val="20"/>
          <w:szCs w:val="20"/>
        </w:rPr>
      </w:pPr>
      <w:r w:rsidRPr="006F62C1">
        <w:rPr>
          <w:rFonts w:ascii="PMingLiU" w:eastAsia="PMingLiU" w:cs="PMingLiU" w:hint="eastAsia"/>
          <w:kern w:val="0"/>
          <w:sz w:val="20"/>
          <w:szCs w:val="20"/>
        </w:rPr>
        <w:t>（英）</w:t>
      </w: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Author</w:t>
      </w:r>
      <w:proofErr w:type="gramStart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’</w:t>
      </w:r>
      <w:proofErr w:type="gramEnd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s Name, Year, </w:t>
      </w:r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>Title of the Book</w:t>
      </w: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. Place of Publication: Publisher.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 w:rsidRPr="006F62C1">
        <w:rPr>
          <w:rFonts w:ascii="PMingLiU" w:eastAsia="PMingLiU" w:cs="PMingLiU" w:hint="eastAsia"/>
          <w:kern w:val="0"/>
          <w:sz w:val="20"/>
          <w:szCs w:val="20"/>
        </w:rPr>
        <w:t>範例：</w:t>
      </w:r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瞿海源，</w:t>
      </w: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1997</w:t>
      </w:r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，《台灣宗教變遷的社會政治分析》。台北：桂冠。</w:t>
      </w:r>
      <w:proofErr w:type="gramStart"/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伊慶春</w:t>
      </w:r>
      <w:proofErr w:type="gramEnd"/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、呂玉瑕、陳玉華，</w:t>
      </w: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1998</w:t>
      </w:r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，</w:t>
      </w:r>
      <w:proofErr w:type="gramStart"/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《</w:t>
      </w:r>
      <w:proofErr w:type="gramEnd"/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婦女家庭地位之研究：以家庭決策模式為例</w:t>
      </w:r>
      <w:proofErr w:type="gramStart"/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》</w:t>
      </w:r>
      <w:proofErr w:type="gramEnd"/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。台北：臺灣社會學社。張清溪編，</w:t>
      </w: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1993</w:t>
      </w:r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，《解析經濟壟斷》。台北：前衛出版社。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Kilbourne,</w:t>
      </w:r>
      <w:proofErr w:type="gramStart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 Jean</w:t>
      </w:r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著</w:t>
      </w:r>
      <w:proofErr w:type="gramEnd"/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、陳美岑譯，</w:t>
      </w: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2001</w:t>
      </w:r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，《致命的說服力》。台北：貓頭鷹。</w:t>
      </w:r>
      <w:proofErr w:type="gramStart"/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（</w:t>
      </w:r>
      <w:proofErr w:type="gramEnd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Kilbourne, Jean, 1999, </w:t>
      </w:r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 xml:space="preserve">Deadly Persuasion: Why Women and </w:t>
      </w:r>
      <w:proofErr w:type="spellStart"/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>GirlsMust</w:t>
      </w:r>
      <w:proofErr w:type="spellEnd"/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 xml:space="preserve"> Fight the Addictive Power of Advertising</w:t>
      </w: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. New York: Free Press.</w:t>
      </w:r>
      <w:r w:rsidRPr="006F62C1">
        <w:rPr>
          <w:rFonts w:ascii="DFKaiShu-SB-Estd-BF" w:eastAsia="DFKaiShu-SB-Estd-BF" w:cs="DFKaiShu-SB-Estd-BF" w:hint="eastAsia"/>
          <w:kern w:val="0"/>
          <w:sz w:val="20"/>
          <w:szCs w:val="20"/>
        </w:rPr>
        <w:t>）</w:t>
      </w:r>
      <w:proofErr w:type="spellStart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Tumin</w:t>
      </w:r>
      <w:proofErr w:type="spellEnd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, Melvin Marvin, 1985, </w:t>
      </w:r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 xml:space="preserve">Social Stratification: </w:t>
      </w:r>
      <w:proofErr w:type="gramStart"/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>The Forms and Functions</w:t>
      </w:r>
      <w:r>
        <w:rPr>
          <w:rFonts w:ascii="DFKaiShu-SB-Estd-BF" w:cs="DFKaiShu-SB-Estd-BF" w:hint="eastAsia"/>
          <w:kern w:val="0"/>
          <w:sz w:val="20"/>
          <w:szCs w:val="20"/>
        </w:rPr>
        <w:t xml:space="preserve"> </w:t>
      </w:r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>of Inequality</w:t>
      </w: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.</w:t>
      </w:r>
      <w:proofErr w:type="gramEnd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 Englewood Cliffs, NJ: Prentice-Hall, Inc.</w:t>
      </w:r>
      <w:r>
        <w:rPr>
          <w:rFonts w:ascii="DFKaiShu-SB-Estd-BF" w:cs="DFKaiShu-SB-Estd-BF" w:hint="eastAsia"/>
          <w:kern w:val="0"/>
          <w:sz w:val="20"/>
          <w:szCs w:val="20"/>
        </w:rPr>
        <w:t xml:space="preserve"> </w:t>
      </w:r>
      <w:proofErr w:type="spellStart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Basch</w:t>
      </w:r>
      <w:proofErr w:type="spellEnd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, Linda, Nina Glick Schiller and Cristina </w:t>
      </w:r>
      <w:proofErr w:type="spellStart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Szanton</w:t>
      </w:r>
      <w:proofErr w:type="spellEnd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 Blanc, 1994, </w:t>
      </w:r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>Nations</w:t>
      </w:r>
      <w:r>
        <w:rPr>
          <w:rFonts w:ascii="DFKaiShu-SB-Estd-BF" w:cs="DFKaiShu-SB-Estd-BF" w:hint="eastAsia"/>
          <w:kern w:val="0"/>
          <w:sz w:val="20"/>
          <w:szCs w:val="20"/>
        </w:rPr>
        <w:t xml:space="preserve"> </w:t>
      </w:r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>Unbound: Transnational Projects, Postcolonial Predicaments, and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Times New Roman" w:eastAsia="PMingLiU" w:hAnsi="Times New Roman" w:cs="Times New Roman"/>
          <w:kern w:val="0"/>
          <w:sz w:val="20"/>
          <w:szCs w:val="20"/>
        </w:rPr>
      </w:pPr>
      <w:proofErr w:type="spellStart"/>
      <w:proofErr w:type="gramStart"/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>Deterritorialized</w:t>
      </w:r>
      <w:proofErr w:type="spellEnd"/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 xml:space="preserve"> Nation-States</w:t>
      </w: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.</w:t>
      </w:r>
      <w:proofErr w:type="gramEnd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 Amsterdam: Gordon and Brea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ch Science.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proofErr w:type="spellStart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Grusky</w:t>
      </w:r>
      <w:proofErr w:type="spellEnd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, David B., ed., 1994, </w:t>
      </w:r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>Social Stratification: Class, Race, and Gender in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>Sociological Perspective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. Boulder, CO: Westview Press.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Gage, John, ed. and trans., 1980, </w:t>
      </w:r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>Goethe on Art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. Berkeley and Los Angeles: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University of California Press.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Ong, </w:t>
      </w:r>
      <w:proofErr w:type="spellStart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Aihwa</w:t>
      </w:r>
      <w:proofErr w:type="spellEnd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 and Donald Macon </w:t>
      </w:r>
      <w:proofErr w:type="spellStart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Nonini</w:t>
      </w:r>
      <w:proofErr w:type="spellEnd"/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 xml:space="preserve">, eds., 1997, </w:t>
      </w:r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>Ungrounded Empires: The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6F62C1">
        <w:rPr>
          <w:rFonts w:ascii="Times New Roman" w:eastAsia="PMingLiU" w:hAnsi="Times New Roman" w:cs="Times New Roman"/>
          <w:i/>
          <w:iCs/>
          <w:kern w:val="0"/>
          <w:sz w:val="20"/>
          <w:szCs w:val="20"/>
        </w:rPr>
        <w:t>Cultural Politics of Modern Chinese Transnationalism</w:t>
      </w:r>
      <w:r>
        <w:rPr>
          <w:rFonts w:ascii="Times New Roman" w:eastAsia="PMingLiU" w:hAnsi="Times New Roman" w:cs="Times New Roman"/>
          <w:kern w:val="0"/>
          <w:sz w:val="20"/>
          <w:szCs w:val="20"/>
        </w:rPr>
        <w:t>. New York: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6F62C1">
        <w:rPr>
          <w:rFonts w:ascii="Times New Roman" w:eastAsia="PMingLiU" w:hAnsi="Times New Roman" w:cs="Times New Roman"/>
          <w:kern w:val="0"/>
          <w:sz w:val="20"/>
          <w:szCs w:val="20"/>
        </w:rPr>
        <w:t>Routledge.</w:t>
      </w:r>
    </w:p>
    <w:p w:rsidR="006F62C1" w:rsidRDefault="006F62C1" w:rsidP="006F62C1">
      <w:pPr>
        <w:autoSpaceDE w:val="0"/>
        <w:autoSpaceDN w:val="0"/>
        <w:adjustRightInd w:val="0"/>
        <w:rPr>
          <w:rFonts w:ascii="Times New Roman" w:hAnsi="Times New Roman" w:cs="Times New Roman" w:hint="eastAsia"/>
          <w:color w:val="000000"/>
          <w:kern w:val="0"/>
          <w:sz w:val="20"/>
          <w:szCs w:val="20"/>
        </w:rPr>
      </w:pP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 xml:space="preserve">2. </w:t>
      </w: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專書論文：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格式：（中）作者，年代，〈篇名〉。頁碼，收錄於○○編，《書名》。出版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地：出版者。</w:t>
      </w:r>
    </w:p>
    <w:p w:rsidR="006F62C1" w:rsidRDefault="006F62C1" w:rsidP="006F62C1">
      <w:pPr>
        <w:autoSpaceDE w:val="0"/>
        <w:autoSpaceDN w:val="0"/>
        <w:adjustRightInd w:val="0"/>
        <w:rPr>
          <w:rFonts w:ascii="Times New Roman" w:eastAsia="PMingLiU" w:hAnsi="Times New Roman" w:cs="Times New Roman"/>
          <w:i/>
          <w:iCs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（英）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Author</w:t>
      </w:r>
      <w:proofErr w:type="gramStart"/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’</w:t>
      </w:r>
      <w:proofErr w:type="gramEnd"/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 xml:space="preserve">s Name, Year, “Title of the Article.” Page numbers in </w:t>
      </w:r>
      <w:r>
        <w:rPr>
          <w:rFonts w:ascii="Times New Roman" w:eastAsia="PMingLiU" w:hAnsi="Times New Roman" w:cs="Times New Roman"/>
          <w:i/>
          <w:iCs/>
          <w:color w:val="000000"/>
          <w:kern w:val="0"/>
          <w:sz w:val="20"/>
          <w:szCs w:val="20"/>
        </w:rPr>
        <w:t>Title of</w:t>
      </w:r>
    </w:p>
    <w:p w:rsidR="006F62C1" w:rsidRDefault="006F62C1" w:rsidP="006F62C1">
      <w:pPr>
        <w:autoSpaceDE w:val="0"/>
        <w:autoSpaceDN w:val="0"/>
        <w:adjustRightInd w:val="0"/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</w:pPr>
      <w:proofErr w:type="gramStart"/>
      <w:r>
        <w:rPr>
          <w:rFonts w:ascii="Times New Roman" w:eastAsia="PMingLiU" w:hAnsi="Times New Roman" w:cs="Times New Roman"/>
          <w:i/>
          <w:iCs/>
          <w:color w:val="000000"/>
          <w:kern w:val="0"/>
          <w:sz w:val="20"/>
          <w:szCs w:val="20"/>
        </w:rPr>
        <w:t>the</w:t>
      </w:r>
      <w:proofErr w:type="gramEnd"/>
      <w:r>
        <w:rPr>
          <w:rFonts w:ascii="Times New Roman" w:eastAsia="PMingLiU" w:hAnsi="Times New Roman" w:cs="Times New Roman"/>
          <w:i/>
          <w:iCs/>
          <w:color w:val="000000"/>
          <w:kern w:val="0"/>
          <w:sz w:val="20"/>
          <w:szCs w:val="20"/>
        </w:rPr>
        <w:t xml:space="preserve"> Book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, edited by Editors. Place of Publication: Publisher.</w:t>
      </w:r>
    </w:p>
    <w:p w:rsidR="006F62C1" w:rsidRPr="006F62C1" w:rsidRDefault="006F62C1" w:rsidP="006F62C1">
      <w:pPr>
        <w:rPr>
          <w:rFonts w:ascii="DFKaiShu-SB-Estd-BF" w:cs="DFKaiShu-SB-Estd-BF" w:hint="eastAsia"/>
          <w:color w:val="000000"/>
          <w:kern w:val="0"/>
          <w:sz w:val="20"/>
          <w:szCs w:val="20"/>
        </w:rPr>
      </w:pPr>
      <w:r>
        <w:rPr>
          <w:rFonts w:ascii="PMingLiU" w:eastAsia="PMingLiU" w:cs="PMingLiU" w:hint="eastAsia"/>
          <w:color w:val="000000"/>
          <w:kern w:val="0"/>
          <w:sz w:val="20"/>
          <w:szCs w:val="20"/>
        </w:rPr>
        <w:t>範例：</w:t>
      </w:r>
      <w:r>
        <w:rPr>
          <w:rFonts w:ascii="DFKaiShu-SB-Estd-BF" w:eastAsia="DFKaiShu-SB-Estd-BF" w:cs="DFKaiShu-SB-Estd-BF" w:hint="eastAsia"/>
          <w:color w:val="000000"/>
          <w:kern w:val="0"/>
          <w:sz w:val="20"/>
          <w:szCs w:val="20"/>
        </w:rPr>
        <w:t>許嘉猷，</w:t>
      </w:r>
      <w:r>
        <w:rPr>
          <w:rFonts w:ascii="Times New Roman" w:eastAsia="PMingLiU" w:hAnsi="Times New Roman" w:cs="Times New Roman"/>
          <w:color w:val="000000"/>
          <w:kern w:val="0"/>
          <w:sz w:val="20"/>
          <w:szCs w:val="20"/>
        </w:rPr>
        <w:t>1990</w:t>
      </w:r>
      <w:r>
        <w:rPr>
          <w:rFonts w:ascii="DFKaiShu-SB-Estd-BF" w:eastAsia="DFKaiShu-SB-Estd-BF" w:cs="DFKaiShu-SB-Estd-BF" w:hint="eastAsia"/>
          <w:color w:val="000000"/>
          <w:kern w:val="0"/>
          <w:sz w:val="20"/>
          <w:szCs w:val="20"/>
        </w:rPr>
        <w:t>，</w:t>
      </w:r>
      <w:proofErr w:type="gramStart"/>
      <w:r>
        <w:rPr>
          <w:rFonts w:ascii="DFKaiShu-SB-Estd-BF" w:eastAsia="DFKaiShu-SB-Estd-BF" w:cs="DFKaiShu-SB-Estd-BF" w:hint="eastAsia"/>
          <w:color w:val="000000"/>
          <w:kern w:val="0"/>
          <w:sz w:val="20"/>
          <w:szCs w:val="20"/>
        </w:rPr>
        <w:t>〈</w:t>
      </w:r>
      <w:proofErr w:type="gramEnd"/>
      <w:r>
        <w:rPr>
          <w:rFonts w:ascii="DFKaiShu-SB-Estd-BF" w:eastAsia="DFKaiShu-SB-Estd-BF" w:cs="DFKaiShu-SB-Estd-BF" w:hint="eastAsia"/>
          <w:color w:val="000000"/>
          <w:kern w:val="0"/>
          <w:sz w:val="20"/>
          <w:szCs w:val="20"/>
        </w:rPr>
        <w:t>階級結構的分類、定位與估計：台灣與美國時正研究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之比較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〉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。頁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21-72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，收錄於許嘉猷編，《階級結構與階級意識之比較研究論文集》。台北：中央研究院歐美研究所。</w:t>
      </w:r>
      <w:proofErr w:type="spell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Luhmann</w:t>
      </w:r>
      <w:proofErr w:type="spellEnd"/>
      <w:proofErr w:type="gram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, </w:t>
      </w:r>
      <w:r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 </w:t>
      </w:r>
      <w:proofErr w:type="spell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Niklas</w:t>
      </w:r>
      <w:proofErr w:type="spellEnd"/>
      <w:proofErr w:type="gramEnd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, 1988, “Familiarity, Confidence, Trust: Problems and</w:t>
      </w:r>
      <w:r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Alternative.” Pp. 94-107 in </w:t>
      </w:r>
      <w:r>
        <w:rPr>
          <w:rFonts w:ascii="Times New Roman" w:eastAsia="DFKaiShu-SB-Estd-BF" w:hAnsi="Times New Roman" w:cs="Times New Roman"/>
          <w:i/>
          <w:iCs/>
          <w:kern w:val="0"/>
          <w:sz w:val="20"/>
          <w:szCs w:val="20"/>
        </w:rPr>
        <w:t>Trust: Making and Breaking Cooperative</w:t>
      </w:r>
      <w:r>
        <w:rPr>
          <w:rFonts w:ascii="DFKaiShu-SB-Estd-BF" w:cs="DFKaiShu-SB-Estd-BF" w:hint="eastAsia"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i/>
          <w:iCs/>
          <w:kern w:val="0"/>
          <w:sz w:val="20"/>
          <w:szCs w:val="20"/>
        </w:rPr>
        <w:t>Relations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, edited by Diego Gambetta. London: Oxford.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3. </w:t>
      </w:r>
      <w:r>
        <w:rPr>
          <w:rFonts w:ascii="PMingLiU" w:eastAsia="PMingLiU" w:cs="PMingLiU" w:hint="eastAsia"/>
          <w:kern w:val="0"/>
          <w:sz w:val="20"/>
          <w:szCs w:val="20"/>
        </w:rPr>
        <w:t>期刊論文：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格式：（中）作者，年代，〈篇名〉。</w:t>
      </w:r>
      <w:proofErr w:type="gramStart"/>
      <w:r>
        <w:rPr>
          <w:rFonts w:ascii="PMingLiU" w:eastAsia="PMingLiU" w:cs="PMingLiU" w:hint="eastAsia"/>
          <w:kern w:val="0"/>
          <w:sz w:val="20"/>
          <w:szCs w:val="20"/>
        </w:rPr>
        <w:t>《期刊名》卷號</w:t>
      </w:r>
      <w:proofErr w:type="gramEnd"/>
      <w:r>
        <w:rPr>
          <w:rFonts w:ascii="PMingLiU" w:eastAsia="PMingLiU" w:cs="PMingLiU" w:hint="eastAsia"/>
          <w:kern w:val="0"/>
          <w:sz w:val="20"/>
          <w:szCs w:val="20"/>
        </w:rPr>
        <w:t>（期號）：頁碼。</w:t>
      </w:r>
    </w:p>
    <w:p w:rsidR="006F62C1" w:rsidRDefault="006F62C1" w:rsidP="006F62C1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（英）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Author</w:t>
      </w:r>
      <w:proofErr w:type="gram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’</w:t>
      </w:r>
      <w:proofErr w:type="gramEnd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s Name, Year, “Title of the Article.” </w:t>
      </w:r>
      <w:r>
        <w:rPr>
          <w:rFonts w:ascii="Times New Roman" w:eastAsia="DFKaiShu-SB-Estd-BF" w:hAnsi="Times New Roman" w:cs="Times New Roman"/>
          <w:i/>
          <w:iCs/>
          <w:kern w:val="0"/>
          <w:sz w:val="20"/>
          <w:szCs w:val="20"/>
        </w:rPr>
        <w:t>Title of the Book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, volume</w:t>
      </w:r>
    </w:p>
    <w:p w:rsidR="006F62C1" w:rsidRDefault="006F62C1" w:rsidP="006F62C1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 w:val="20"/>
          <w:szCs w:val="20"/>
        </w:rPr>
      </w:pPr>
      <w:proofErr w:type="gram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number</w:t>
      </w:r>
      <w:proofErr w:type="gramEnd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 (series number): page numbers.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範例：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李瑞麟，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1975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，〈臺灣都市之形成與發展〉。《臺灣銀行季刊》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24(3): 1-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29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。</w:t>
      </w:r>
    </w:p>
    <w:p w:rsidR="006F62C1" w:rsidRDefault="006F62C1" w:rsidP="006F62C1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 w:val="20"/>
          <w:szCs w:val="20"/>
        </w:rPr>
      </w:pPr>
      <w:proofErr w:type="spellStart"/>
      <w:proofErr w:type="gram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Morck</w:t>
      </w:r>
      <w:proofErr w:type="spellEnd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, Randall, Andrei Shleifer and Robert W. </w:t>
      </w:r>
      <w:proofErr w:type="spell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Vishny</w:t>
      </w:r>
      <w:proofErr w:type="spellEnd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, 1989, “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Alternative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Mechanisms for Corporate Control.”</w:t>
      </w:r>
      <w:proofErr w:type="gramEnd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i/>
          <w:iCs/>
          <w:kern w:val="0"/>
          <w:sz w:val="20"/>
          <w:szCs w:val="20"/>
        </w:rPr>
        <w:t xml:space="preserve">American Economic Review 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79: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842-852.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4. </w:t>
      </w:r>
      <w:r>
        <w:rPr>
          <w:rFonts w:ascii="PMingLiU" w:eastAsia="PMingLiU" w:cs="PMingLiU" w:hint="eastAsia"/>
          <w:kern w:val="0"/>
          <w:sz w:val="20"/>
          <w:szCs w:val="20"/>
        </w:rPr>
        <w:t>會議論文：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格式：（中）作者，年代，〈論文名稱〉。論文發表於「研討會名稱」，地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點：主辦單位，會議期間。</w:t>
      </w:r>
    </w:p>
    <w:p w:rsidR="006F62C1" w:rsidRDefault="006F62C1" w:rsidP="006F62C1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（英）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Author</w:t>
      </w:r>
      <w:proofErr w:type="gram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’</w:t>
      </w:r>
      <w:proofErr w:type="gramEnd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s Name, Year, “Title of the Article.</w:t>
      </w:r>
      <w:proofErr w:type="gram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”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 Paper presented at the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Name of the Conference, Place, Date.</w:t>
      </w:r>
      <w:proofErr w:type="gramEnd"/>
    </w:p>
    <w:p w:rsidR="006F62C1" w:rsidRDefault="006F62C1" w:rsidP="006F62C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範例：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洪永泰、李俊仁、孫瑞霞，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1993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，〈歷次社會變遷與社會意向調查的籍貫分佈分析〉。論文發表於「台灣地區社會意向調查資料運用學術研討會」，台北：中央研究院中山人文社會科學研究所，民國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82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年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3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月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15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日至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17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日。</w:t>
      </w:r>
    </w:p>
    <w:p w:rsidR="006F62C1" w:rsidRDefault="006F62C1" w:rsidP="006F62C1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 w:val="20"/>
          <w:szCs w:val="20"/>
        </w:rPr>
      </w:pP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Tam, Tony, 1998, “Getting Ahead in the Labor Market: The Positional Capital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Approach.” Paper presented at the 14th World 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lastRenderedPageBreak/>
        <w:t>Congress of Sociology of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the International Sociological Associat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ion, Montreal, Canada, </w:t>
      </w:r>
      <w:proofErr w:type="gram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July</w:t>
      </w:r>
      <w:proofErr w:type="gramEnd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 26-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August 1.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5. </w:t>
      </w:r>
      <w:r>
        <w:rPr>
          <w:rFonts w:ascii="PMingLiU" w:eastAsia="PMingLiU" w:cs="PMingLiU" w:hint="eastAsia"/>
          <w:kern w:val="0"/>
          <w:sz w:val="20"/>
          <w:szCs w:val="20"/>
        </w:rPr>
        <w:t>博、碩士論文：</w:t>
      </w: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格式：（中）作者，年代，《論文名稱》。發表地點：校系名稱博碩士論文。</w:t>
      </w:r>
    </w:p>
    <w:p w:rsidR="006F62C1" w:rsidRDefault="006F62C1" w:rsidP="006F62C1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（英）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Author</w:t>
      </w:r>
      <w:proofErr w:type="gram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’</w:t>
      </w:r>
      <w:proofErr w:type="gramEnd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s Name, Year</w:t>
      </w:r>
      <w:r>
        <w:rPr>
          <w:rFonts w:ascii="Times New Roman" w:eastAsia="DFKaiShu-SB-Estd-BF" w:hAnsi="Times New Roman" w:cs="Times New Roman"/>
          <w:i/>
          <w:iCs/>
          <w:kern w:val="0"/>
          <w:sz w:val="20"/>
          <w:szCs w:val="20"/>
        </w:rPr>
        <w:t>, Title of the Dissertation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. </w:t>
      </w:r>
      <w:proofErr w:type="gram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Unpublished doctoral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dissertation, the Name of the University, Place.</w:t>
      </w:r>
      <w:proofErr w:type="gramEnd"/>
    </w:p>
    <w:p w:rsidR="006F62C1" w:rsidRDefault="006F62C1" w:rsidP="006F62C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範例：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黃清高，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1990a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，《都市社會網絡與地緣關係之研究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—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台北都會區發展方向探討與社區組織系統設計》。台北：台灣大學社會學研究所碩士論文。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i/>
          <w:iCs/>
          <w:kern w:val="0"/>
          <w:sz w:val="20"/>
          <w:szCs w:val="20"/>
        </w:rPr>
      </w:pP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Wu, </w:t>
      </w:r>
      <w:proofErr w:type="spell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Nai</w:t>
      </w:r>
      <w:proofErr w:type="spellEnd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-The, 1987, </w:t>
      </w:r>
      <w:proofErr w:type="gramStart"/>
      <w:r>
        <w:rPr>
          <w:rFonts w:ascii="Times New Roman" w:eastAsia="DFKaiShu-SB-Estd-BF" w:hAnsi="Times New Roman" w:cs="Times New Roman"/>
          <w:i/>
          <w:iCs/>
          <w:kern w:val="0"/>
          <w:sz w:val="20"/>
          <w:szCs w:val="20"/>
        </w:rPr>
        <w:t>The</w:t>
      </w:r>
      <w:proofErr w:type="gramEnd"/>
      <w:r>
        <w:rPr>
          <w:rFonts w:ascii="Times New Roman" w:eastAsia="DFKaiShu-SB-Estd-BF" w:hAnsi="Times New Roman" w:cs="Times New Roman"/>
          <w:i/>
          <w:iCs/>
          <w:kern w:val="0"/>
          <w:sz w:val="20"/>
          <w:szCs w:val="20"/>
        </w:rPr>
        <w:t xml:space="preserve"> Politics of a Reg</w:t>
      </w:r>
      <w:r>
        <w:rPr>
          <w:rFonts w:ascii="Times New Roman" w:eastAsia="DFKaiShu-SB-Estd-BF" w:hAnsi="Times New Roman" w:cs="Times New Roman"/>
          <w:i/>
          <w:iCs/>
          <w:kern w:val="0"/>
          <w:sz w:val="20"/>
          <w:szCs w:val="20"/>
        </w:rPr>
        <w:t>ime Patronage: Mobilization and</w:t>
      </w:r>
      <w:r>
        <w:rPr>
          <w:rFonts w:ascii="Times New Roman" w:hAnsi="Times New Roman" w:cs="Times New Roman" w:hint="eastAsia"/>
          <w:i/>
          <w:iCs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i/>
          <w:iCs/>
          <w:kern w:val="0"/>
          <w:sz w:val="20"/>
          <w:szCs w:val="20"/>
        </w:rPr>
        <w:t>Control within An Authoritarian Regime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. </w:t>
      </w:r>
      <w:proofErr w:type="gram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Unpublished doctoral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dissertation, Department of Political Science, University of Chicago,</w:t>
      </w:r>
      <w:r>
        <w:rPr>
          <w:rFonts w:ascii="Times New Roman" w:hAnsi="Times New Roman" w:cs="Times New Roman" w:hint="eastAsia"/>
          <w:i/>
          <w:iCs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Chicago, IL.</w:t>
      </w:r>
      <w:proofErr w:type="gramEnd"/>
    </w:p>
    <w:p w:rsidR="006F62C1" w:rsidRDefault="006F62C1" w:rsidP="006F62C1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 w:val="20"/>
          <w:szCs w:val="20"/>
        </w:rPr>
      </w:pPr>
    </w:p>
    <w:p w:rsidR="006F62C1" w:rsidRDefault="006F62C1" w:rsidP="006F62C1">
      <w:pPr>
        <w:autoSpaceDE w:val="0"/>
        <w:autoSpaceDN w:val="0"/>
        <w:adjustRightInd w:val="0"/>
        <w:rPr>
          <w:rFonts w:ascii="PMingLiU" w:eastAsia="PMingLiU" w:cs="PMingLiU"/>
          <w:kern w:val="0"/>
          <w:sz w:val="20"/>
          <w:szCs w:val="20"/>
        </w:rPr>
      </w:pP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6. </w:t>
      </w:r>
      <w:r>
        <w:rPr>
          <w:rFonts w:ascii="PMingLiU" w:eastAsia="PMingLiU" w:cs="PMingLiU" w:hint="eastAsia"/>
          <w:kern w:val="0"/>
          <w:sz w:val="20"/>
          <w:szCs w:val="20"/>
        </w:rPr>
        <w:t>其他：</w:t>
      </w:r>
    </w:p>
    <w:p w:rsidR="006F62C1" w:rsidRPr="006F62C1" w:rsidRDefault="006F62C1" w:rsidP="006F62C1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 w:val="20"/>
          <w:szCs w:val="20"/>
        </w:rPr>
      </w:pPr>
      <w:r>
        <w:rPr>
          <w:rFonts w:ascii="PMingLiU" w:eastAsia="PMingLiU" w:cs="PMingLiU" w:hint="eastAsia"/>
          <w:kern w:val="0"/>
          <w:sz w:val="20"/>
          <w:szCs w:val="20"/>
        </w:rPr>
        <w:t>範例：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楊重信，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1995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，〈建立具市場機制之土地開發制度〉。聯合報，第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21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版，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10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月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7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日。瞿海源，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1989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，《宗教法研究》。內政部委託研究計畫報告。中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央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健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康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保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險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局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，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2004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，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中央健康保險局</w:t>
      </w:r>
      <w:proofErr w:type="gramStart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新藥收載</w:t>
      </w:r>
      <w:proofErr w:type="gramEnd"/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申請書。</w:t>
      </w:r>
    </w:p>
    <w:p w:rsidR="006F62C1" w:rsidRDefault="006F62C1" w:rsidP="006F62C1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0"/>
          <w:szCs w:val="20"/>
        </w:rPr>
      </w:pP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http://www.nhi.gov.tw/02hospital/hospital_file/newmedform.doc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，</w:t>
      </w:r>
      <w:r>
        <w:rPr>
          <w:rFonts w:ascii="DFKaiShu-SB-Estd-BF" w:eastAsia="DFKaiShu-SB-Estd-BF" w:cs="DFKaiShu-SB-Estd-BF"/>
          <w:kern w:val="0"/>
          <w:sz w:val="20"/>
          <w:szCs w:val="20"/>
        </w:rPr>
        <w:t xml:space="preserve"> 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取用日期：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2004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年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10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月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2</w:t>
      </w:r>
      <w:r>
        <w:rPr>
          <w:rFonts w:ascii="DFKaiShu-SB-Estd-BF" w:eastAsia="DFKaiShu-SB-Estd-BF" w:cs="DFKaiShu-SB-Estd-BF" w:hint="eastAsia"/>
          <w:kern w:val="0"/>
          <w:sz w:val="20"/>
          <w:szCs w:val="20"/>
        </w:rPr>
        <w:t>日。</w:t>
      </w:r>
    </w:p>
    <w:p w:rsidR="006F62C1" w:rsidRDefault="006F62C1" w:rsidP="006F62C1">
      <w:pPr>
        <w:autoSpaceDE w:val="0"/>
        <w:autoSpaceDN w:val="0"/>
        <w:adjustRightInd w:val="0"/>
        <w:rPr>
          <w:rFonts w:ascii="Times New Roman" w:hAnsi="Times New Roman" w:cs="Times New Roman" w:hint="eastAsia"/>
          <w:kern w:val="0"/>
          <w:sz w:val="20"/>
          <w:szCs w:val="20"/>
        </w:rPr>
      </w:pPr>
    </w:p>
    <w:p w:rsidR="006F62C1" w:rsidRDefault="006F62C1" w:rsidP="006F62C1">
      <w:pPr>
        <w:autoSpaceDE w:val="0"/>
        <w:autoSpaceDN w:val="0"/>
        <w:adjustRightInd w:val="0"/>
        <w:rPr>
          <w:rFonts w:ascii="Times New Roman" w:eastAsia="DFKaiShu-SB-Estd-BF" w:hAnsi="Times New Roman" w:cs="Times New Roman"/>
          <w:kern w:val="0"/>
          <w:sz w:val="20"/>
          <w:szCs w:val="20"/>
        </w:rPr>
      </w:pP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U.S. Census Bureau, 2003, “Table 028: Age-</w:t>
      </w:r>
      <w:proofErr w:type="spellStart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specf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ic</w:t>
      </w:r>
      <w:proofErr w:type="spellEnd"/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 fertility rates and selected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 xml:space="preserve">derived measures.” In </w:t>
      </w:r>
      <w:r>
        <w:rPr>
          <w:rFonts w:ascii="Times New Roman" w:eastAsia="DFKaiShu-SB-Estd-BF" w:hAnsi="Times New Roman" w:cs="Times New Roman"/>
          <w:i/>
          <w:iCs/>
          <w:kern w:val="0"/>
          <w:sz w:val="20"/>
          <w:szCs w:val="20"/>
        </w:rPr>
        <w:t>IDB Data Access–Display Mode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,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http://www.census.gov.tw/ipc/www/idbprint.html (Date visited: July 17,</w:t>
      </w:r>
    </w:p>
    <w:p w:rsidR="006F62C1" w:rsidRPr="006F62C1" w:rsidRDefault="006F62C1" w:rsidP="006F62C1">
      <w:pPr>
        <w:rPr>
          <w:rFonts w:ascii="Times New Roman" w:hAnsi="Times New Roman" w:cs="Times New Roman" w:hint="eastAsia"/>
          <w:kern w:val="0"/>
          <w:sz w:val="20"/>
          <w:szCs w:val="20"/>
        </w:rPr>
      </w:pPr>
      <w:r>
        <w:rPr>
          <w:rFonts w:ascii="Times New Roman" w:eastAsia="DFKaiShu-SB-Estd-BF" w:hAnsi="Times New Roman" w:cs="Times New Roman"/>
          <w:kern w:val="0"/>
          <w:sz w:val="20"/>
          <w:szCs w:val="20"/>
        </w:rPr>
        <w:t>2003).</w:t>
      </w:r>
      <w:r>
        <w:rPr>
          <w:rFonts w:ascii="Times New Roman" w:hAnsi="Times New Roman" w:cs="Times New Roman"/>
          <w:kern w:val="0"/>
          <w:sz w:val="20"/>
          <w:szCs w:val="20"/>
        </w:rPr>
        <w:t>Bumpass, Lily L. and James A. Sweet, 1995, “</w:t>
      </w:r>
      <w:r>
        <w:rPr>
          <w:rFonts w:ascii="Times New Roman" w:hAnsi="Times New Roman" w:cs="Times New Roman"/>
          <w:kern w:val="0"/>
          <w:sz w:val="20"/>
          <w:szCs w:val="20"/>
        </w:rPr>
        <w:t>Cohabitation, Marriage, and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>Non-Marital Childbearing and Union Stabi</w:t>
      </w:r>
      <w:r>
        <w:rPr>
          <w:rFonts w:ascii="Times New Roman" w:hAnsi="Times New Roman" w:cs="Times New Roman"/>
          <w:kern w:val="0"/>
          <w:sz w:val="20"/>
          <w:szCs w:val="20"/>
        </w:rPr>
        <w:t>lity: Preliminary Findings from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NSFH2.” </w:t>
      </w:r>
      <w:proofErr w:type="gramStart"/>
      <w:r>
        <w:rPr>
          <w:rFonts w:ascii="Times New Roman" w:hAnsi="Times New Roman" w:cs="Times New Roman"/>
          <w:i/>
          <w:iCs/>
          <w:kern w:val="0"/>
          <w:sz w:val="20"/>
          <w:szCs w:val="20"/>
        </w:rPr>
        <w:t>NSFH Working Paper</w:t>
      </w:r>
      <w:r>
        <w:rPr>
          <w:rFonts w:ascii="Times New Roman" w:hAnsi="Times New Roman" w:cs="Times New Roman"/>
          <w:kern w:val="0"/>
          <w:sz w:val="20"/>
          <w:szCs w:val="20"/>
        </w:rPr>
        <w:t>,</w:t>
      </w:r>
      <w:r>
        <w:rPr>
          <w:rFonts w:ascii="Times New Roman" w:hAnsi="Times New Roman" w:cs="Times New Roman"/>
          <w:kern w:val="0"/>
          <w:sz w:val="20"/>
          <w:szCs w:val="20"/>
        </w:rPr>
        <w:t xml:space="preserve"> No. 65.</w:t>
      </w:r>
      <w:proofErr w:type="gramEnd"/>
      <w:r>
        <w:rPr>
          <w:rFonts w:ascii="Times New Roman" w:hAnsi="Times New Roman" w:cs="Times New Roman"/>
          <w:kern w:val="0"/>
          <w:sz w:val="20"/>
          <w:szCs w:val="20"/>
        </w:rPr>
        <w:t xml:space="preserve"> Madison: University of</w:t>
      </w:r>
      <w:r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kern w:val="0"/>
          <w:sz w:val="20"/>
          <w:szCs w:val="20"/>
        </w:rPr>
        <w:t>Wisconsin, Center for Demography and Ecology.</w:t>
      </w:r>
    </w:p>
    <w:sectPr w:rsidR="006F62C1" w:rsidRPr="006F62C1" w:rsidSect="006F62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C1"/>
    <w:rsid w:val="002375A7"/>
    <w:rsid w:val="002B57C3"/>
    <w:rsid w:val="006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953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tku_staff</dc:creator>
  <cp:lastModifiedBy>tku_staff</cp:lastModifiedBy>
  <cp:revision>1</cp:revision>
  <dcterms:created xsi:type="dcterms:W3CDTF">2017-04-14T03:31:00Z</dcterms:created>
  <dcterms:modified xsi:type="dcterms:W3CDTF">2017-04-14T03:40:00Z</dcterms:modified>
</cp:coreProperties>
</file>